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89" w:rsidRPr="00692D3E" w:rsidRDefault="00692D3E" w:rsidP="009F3160">
      <w:pPr>
        <w:shd w:val="clear" w:color="auto" w:fill="FFFFFF"/>
        <w:tabs>
          <w:tab w:val="left" w:pos="5529"/>
        </w:tabs>
        <w:ind w:right="2977"/>
        <w:rPr>
          <w:b/>
          <w:color w:val="000000"/>
          <w:spacing w:val="-7"/>
          <w:sz w:val="28"/>
          <w:szCs w:val="28"/>
        </w:rPr>
      </w:pPr>
      <w:r w:rsidRPr="00692D3E">
        <w:rPr>
          <w:b/>
          <w:color w:val="000000"/>
          <w:spacing w:val="-7"/>
          <w:sz w:val="28"/>
          <w:szCs w:val="28"/>
        </w:rPr>
        <w:t>НОМИНАЦИЯ «</w:t>
      </w:r>
      <w:r w:rsidR="00B0448F">
        <w:rPr>
          <w:b/>
          <w:color w:val="000000"/>
          <w:spacing w:val="-7"/>
          <w:sz w:val="28"/>
          <w:szCs w:val="28"/>
          <w:lang w:val="tt-RU"/>
        </w:rPr>
        <w:t>УНИКАЛЬНЫЙ СЛУЧАЙ</w:t>
      </w:r>
      <w:r w:rsidRPr="00692D3E">
        <w:rPr>
          <w:b/>
          <w:color w:val="000000"/>
          <w:spacing w:val="-7"/>
          <w:sz w:val="28"/>
          <w:szCs w:val="28"/>
        </w:rPr>
        <w:t>»</w:t>
      </w:r>
      <w:r w:rsidR="00322E79" w:rsidRPr="00692D3E">
        <w:rPr>
          <w:b/>
          <w:color w:val="000000"/>
          <w:spacing w:val="-7"/>
          <w:sz w:val="28"/>
          <w:szCs w:val="28"/>
        </w:rPr>
        <w:t xml:space="preserve">                                                                      </w:t>
      </w:r>
    </w:p>
    <w:p w:rsidR="00B27989" w:rsidRPr="000964AA" w:rsidRDefault="00B27989" w:rsidP="00E57992">
      <w:pPr>
        <w:shd w:val="clear" w:color="auto" w:fill="FFFFFF"/>
        <w:ind w:right="4666"/>
        <w:rPr>
          <w:color w:val="000000"/>
          <w:spacing w:val="-7"/>
          <w:sz w:val="28"/>
          <w:szCs w:val="28"/>
        </w:rPr>
      </w:pPr>
    </w:p>
    <w:p w:rsidR="00B0448F" w:rsidRPr="002200A8" w:rsidRDefault="00B0448F" w:rsidP="00B0448F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2200A8">
        <w:rPr>
          <w:sz w:val="28"/>
          <w:szCs w:val="28"/>
        </w:rPr>
        <w:t xml:space="preserve">К участию в номинации допускаются врачи любых специальностей и (или) медицинские бригады, осуществившие проведение диагностики, лечения или хирургического вмешательства, позволивших сохранить жизнь пациента и обеспечить удовлетворительное качество жизни при наличии </w:t>
      </w:r>
      <w:proofErr w:type="spellStart"/>
      <w:r w:rsidRPr="002200A8">
        <w:rPr>
          <w:sz w:val="28"/>
          <w:szCs w:val="28"/>
        </w:rPr>
        <w:t>жизнеугрожающего</w:t>
      </w:r>
      <w:proofErr w:type="spellEnd"/>
      <w:r w:rsidRPr="002200A8">
        <w:rPr>
          <w:sz w:val="28"/>
          <w:szCs w:val="28"/>
        </w:rPr>
        <w:t xml:space="preserve"> состояния либо сочетанной тяжелой патологии.</w:t>
      </w:r>
    </w:p>
    <w:p w:rsidR="00B0448F" w:rsidRPr="002200A8" w:rsidRDefault="00B0448F" w:rsidP="00B0448F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2200A8">
        <w:rPr>
          <w:sz w:val="28"/>
          <w:szCs w:val="28"/>
        </w:rPr>
        <w:t xml:space="preserve">К рассмотрению принимаются клинические случаи, по которым с момента завершения лечения (операции) прошло </w:t>
      </w:r>
      <w:r w:rsidRPr="000964AA">
        <w:rPr>
          <w:bCs/>
          <w:sz w:val="28"/>
          <w:szCs w:val="28"/>
        </w:rPr>
        <w:t>не менее одного года</w:t>
      </w:r>
      <w:r w:rsidRPr="002200A8">
        <w:rPr>
          <w:sz w:val="28"/>
          <w:szCs w:val="28"/>
        </w:rPr>
        <w:t>, и на момент подачи документов подтверждено стабильное или удовлетворительное состояние пациента.</w:t>
      </w:r>
    </w:p>
    <w:p w:rsidR="00B0448F" w:rsidRPr="002200A8" w:rsidRDefault="00B0448F" w:rsidP="00B0448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200A8">
        <w:rPr>
          <w:sz w:val="28"/>
          <w:szCs w:val="28"/>
        </w:rPr>
        <w:t>Для участия в номинации представляются следующие документы:</w:t>
      </w:r>
    </w:p>
    <w:p w:rsidR="00B0448F" w:rsidRPr="002200A8" w:rsidRDefault="00B0448F" w:rsidP="00B0448F">
      <w:pPr>
        <w:widowControl/>
        <w:numPr>
          <w:ilvl w:val="0"/>
          <w:numId w:val="11"/>
        </w:numPr>
        <w:autoSpaceDE/>
        <w:autoSpaceDN/>
        <w:adjustRightInd/>
        <w:ind w:left="0" w:firstLine="0"/>
        <w:rPr>
          <w:sz w:val="28"/>
          <w:szCs w:val="28"/>
        </w:rPr>
      </w:pPr>
      <w:r w:rsidRPr="002200A8">
        <w:rPr>
          <w:sz w:val="28"/>
          <w:szCs w:val="28"/>
        </w:rPr>
        <w:t xml:space="preserve">протокол лечения (оперативного вмешательства); </w:t>
      </w:r>
    </w:p>
    <w:p w:rsidR="00B0448F" w:rsidRPr="002200A8" w:rsidRDefault="00B0448F" w:rsidP="00B0448F">
      <w:pPr>
        <w:widowControl/>
        <w:numPr>
          <w:ilvl w:val="0"/>
          <w:numId w:val="11"/>
        </w:numPr>
        <w:autoSpaceDE/>
        <w:autoSpaceDN/>
        <w:adjustRightInd/>
        <w:ind w:left="0" w:firstLine="0"/>
        <w:rPr>
          <w:sz w:val="28"/>
          <w:szCs w:val="28"/>
        </w:rPr>
      </w:pPr>
      <w:r w:rsidRPr="002200A8">
        <w:rPr>
          <w:sz w:val="28"/>
          <w:szCs w:val="28"/>
        </w:rPr>
        <w:t xml:space="preserve">выписка из истории болезни; </w:t>
      </w:r>
    </w:p>
    <w:p w:rsidR="00B0448F" w:rsidRPr="002200A8" w:rsidRDefault="00B0448F" w:rsidP="00B0448F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  <w:ind w:left="0" w:firstLine="0"/>
        <w:rPr>
          <w:sz w:val="28"/>
          <w:szCs w:val="28"/>
        </w:rPr>
      </w:pPr>
      <w:r w:rsidRPr="002200A8">
        <w:rPr>
          <w:sz w:val="28"/>
          <w:szCs w:val="28"/>
        </w:rPr>
        <w:t xml:space="preserve">выписка из амбулаторной карты пациента с результатами наблюдения; </w:t>
      </w:r>
    </w:p>
    <w:p w:rsidR="00B0448F" w:rsidRDefault="00B0448F" w:rsidP="00B0448F">
      <w:pPr>
        <w:widowControl/>
        <w:numPr>
          <w:ilvl w:val="0"/>
          <w:numId w:val="11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200A8">
        <w:rPr>
          <w:sz w:val="28"/>
          <w:szCs w:val="28"/>
        </w:rPr>
        <w:t xml:space="preserve">заключение независимого эксперта (ведущего специалиста в соответствующей области медицины) либо профильной медицинской ассоциации. </w:t>
      </w:r>
    </w:p>
    <w:p w:rsidR="00B0448F" w:rsidRDefault="00B0448F" w:rsidP="00B0448F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Оценка номинантов проводится по 100-балльной шкале.</w:t>
      </w:r>
    </w:p>
    <w:p w:rsidR="00644AB1" w:rsidRPr="003252EE" w:rsidRDefault="00194D7D" w:rsidP="00B0448F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905AE">
        <w:rPr>
          <w:sz w:val="28"/>
          <w:szCs w:val="28"/>
        </w:rPr>
        <w:t>При оценке критериев используется метод относительного ранжирования участников внутри соответствующей номинации. Максимальный балл по критерию получает участник, имеющий наилучшее значение показателя, минимальный балл — участник, имеющий наихудшее значение показателя, промежуточные значения рассчитываются пропорционально.</w:t>
      </w:r>
      <w:bookmarkStart w:id="0" w:name="_GoBack"/>
      <w:bookmarkEnd w:id="0"/>
    </w:p>
    <w:tbl>
      <w:tblPr>
        <w:tblW w:w="99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2126"/>
      </w:tblGrid>
      <w:tr w:rsidR="00B0448F" w:rsidRPr="00976365" w:rsidTr="007E1B64">
        <w:trPr>
          <w:tblCellSpacing w:w="15" w:type="dxa"/>
        </w:trPr>
        <w:tc>
          <w:tcPr>
            <w:tcW w:w="7752" w:type="dxa"/>
            <w:vAlign w:val="center"/>
          </w:tcPr>
          <w:p w:rsidR="00B0448F" w:rsidRPr="00976365" w:rsidRDefault="00B0448F" w:rsidP="007E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оценивания:</w:t>
            </w:r>
          </w:p>
        </w:tc>
        <w:tc>
          <w:tcPr>
            <w:tcW w:w="2081" w:type="dxa"/>
            <w:vAlign w:val="center"/>
          </w:tcPr>
          <w:p w:rsidR="00B0448F" w:rsidRPr="00976365" w:rsidRDefault="00B0448F" w:rsidP="007E1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балл</w:t>
            </w:r>
          </w:p>
        </w:tc>
      </w:tr>
      <w:tr w:rsidR="00EA7CAA" w:rsidRPr="00976365" w:rsidTr="007E1B64">
        <w:trPr>
          <w:tblCellSpacing w:w="15" w:type="dxa"/>
        </w:trPr>
        <w:tc>
          <w:tcPr>
            <w:tcW w:w="7752" w:type="dxa"/>
            <w:vAlign w:val="center"/>
            <w:hideMark/>
          </w:tcPr>
          <w:p w:rsidR="00EA7CAA" w:rsidRPr="00976365" w:rsidRDefault="00321F44" w:rsidP="00EA7CAA">
            <w:pPr>
              <w:rPr>
                <w:sz w:val="28"/>
                <w:szCs w:val="28"/>
              </w:rPr>
            </w:pPr>
            <w:r w:rsidRPr="00321F44">
              <w:rPr>
                <w:sz w:val="28"/>
                <w:szCs w:val="28"/>
              </w:rPr>
              <w:t>Достижение клинического излечения или ремиссии</w:t>
            </w:r>
          </w:p>
        </w:tc>
        <w:tc>
          <w:tcPr>
            <w:tcW w:w="2081" w:type="dxa"/>
            <w:vAlign w:val="center"/>
            <w:hideMark/>
          </w:tcPr>
          <w:p w:rsidR="00EA7CAA" w:rsidRPr="00976365" w:rsidRDefault="00EA7CAA" w:rsidP="00EA7CAA">
            <w:pPr>
              <w:jc w:val="center"/>
              <w:rPr>
                <w:sz w:val="28"/>
                <w:szCs w:val="28"/>
              </w:rPr>
            </w:pPr>
            <w:r w:rsidRPr="0097636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EA7CAA" w:rsidRPr="00976365" w:rsidTr="007E1B64">
        <w:trPr>
          <w:tblCellSpacing w:w="15" w:type="dxa"/>
        </w:trPr>
        <w:tc>
          <w:tcPr>
            <w:tcW w:w="7752" w:type="dxa"/>
            <w:vAlign w:val="center"/>
            <w:hideMark/>
          </w:tcPr>
          <w:p w:rsidR="00EA7CAA" w:rsidRPr="005F190D" w:rsidRDefault="00EA7CAA" w:rsidP="00EA7C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Улучшение качества жизни пациента </w:t>
            </w:r>
          </w:p>
        </w:tc>
        <w:tc>
          <w:tcPr>
            <w:tcW w:w="2081" w:type="dxa"/>
            <w:vAlign w:val="center"/>
            <w:hideMark/>
          </w:tcPr>
          <w:p w:rsidR="00EA7CAA" w:rsidRPr="00976365" w:rsidRDefault="00EA7CAA" w:rsidP="00EA7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A7CAA" w:rsidRPr="00976365" w:rsidTr="007E1B64">
        <w:trPr>
          <w:tblCellSpacing w:w="15" w:type="dxa"/>
        </w:trPr>
        <w:tc>
          <w:tcPr>
            <w:tcW w:w="7752" w:type="dxa"/>
            <w:vAlign w:val="center"/>
            <w:hideMark/>
          </w:tcPr>
          <w:p w:rsidR="00EA7CAA" w:rsidRPr="00976365" w:rsidRDefault="00EA7CAA" w:rsidP="00EA7C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Инновационность</w:t>
            </w:r>
            <w:proofErr w:type="spellEnd"/>
            <w:r>
              <w:rPr>
                <w:sz w:val="28"/>
                <w:szCs w:val="28"/>
              </w:rPr>
              <w:t xml:space="preserve"> методов</w:t>
            </w:r>
          </w:p>
        </w:tc>
        <w:tc>
          <w:tcPr>
            <w:tcW w:w="2081" w:type="dxa"/>
            <w:vAlign w:val="center"/>
            <w:hideMark/>
          </w:tcPr>
          <w:p w:rsidR="00EA7CAA" w:rsidRPr="00976365" w:rsidRDefault="00EA7CAA" w:rsidP="00EA7CAA">
            <w:pPr>
              <w:jc w:val="center"/>
              <w:rPr>
                <w:sz w:val="28"/>
                <w:szCs w:val="28"/>
              </w:rPr>
            </w:pPr>
            <w:r w:rsidRPr="00976365">
              <w:rPr>
                <w:sz w:val="28"/>
                <w:szCs w:val="28"/>
              </w:rPr>
              <w:t>20</w:t>
            </w:r>
          </w:p>
        </w:tc>
      </w:tr>
      <w:tr w:rsidR="00EA7CAA" w:rsidRPr="00976365" w:rsidTr="007E1B64">
        <w:trPr>
          <w:tblCellSpacing w:w="15" w:type="dxa"/>
        </w:trPr>
        <w:tc>
          <w:tcPr>
            <w:tcW w:w="7752" w:type="dxa"/>
            <w:vAlign w:val="center"/>
            <w:hideMark/>
          </w:tcPr>
          <w:p w:rsidR="00EA7CAA" w:rsidRDefault="00EA7CAA" w:rsidP="00EA7C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Мультидисциплинарный</w:t>
            </w:r>
            <w:proofErr w:type="spellEnd"/>
            <w:r>
              <w:rPr>
                <w:sz w:val="28"/>
                <w:szCs w:val="28"/>
              </w:rPr>
              <w:t xml:space="preserve"> подход </w:t>
            </w:r>
          </w:p>
        </w:tc>
        <w:tc>
          <w:tcPr>
            <w:tcW w:w="2081" w:type="dxa"/>
            <w:vAlign w:val="center"/>
            <w:hideMark/>
          </w:tcPr>
          <w:p w:rsidR="00EA7CAA" w:rsidRPr="00976365" w:rsidRDefault="00EA7CAA" w:rsidP="00EA7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A7CAA" w:rsidRPr="00976365" w:rsidTr="007E1B64">
        <w:trPr>
          <w:tblCellSpacing w:w="15" w:type="dxa"/>
        </w:trPr>
        <w:tc>
          <w:tcPr>
            <w:tcW w:w="7752" w:type="dxa"/>
            <w:vAlign w:val="center"/>
          </w:tcPr>
          <w:p w:rsidR="00EA7CAA" w:rsidRDefault="00EA7CAA" w:rsidP="00EA7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Исключительность случая (сложность и редкость)</w:t>
            </w:r>
          </w:p>
        </w:tc>
        <w:tc>
          <w:tcPr>
            <w:tcW w:w="2081" w:type="dxa"/>
            <w:vAlign w:val="center"/>
          </w:tcPr>
          <w:p w:rsidR="00EA7CAA" w:rsidRPr="00976365" w:rsidRDefault="00EA7CAA" w:rsidP="00EA7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0448F" w:rsidRDefault="00B0448F" w:rsidP="00B0448F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644AB1" w:rsidRPr="00B93665" w:rsidRDefault="00644AB1" w:rsidP="00B0448F">
      <w:pPr>
        <w:widowControl/>
        <w:autoSpaceDE/>
        <w:autoSpaceDN/>
        <w:adjustRightInd/>
        <w:jc w:val="both"/>
        <w:rPr>
          <w:sz w:val="16"/>
          <w:szCs w:val="16"/>
        </w:rPr>
      </w:pPr>
      <w:r w:rsidRPr="00B93665">
        <w:rPr>
          <w:b/>
          <w:sz w:val="28"/>
          <w:szCs w:val="28"/>
        </w:rPr>
        <w:t>Описание критериев</w:t>
      </w:r>
    </w:p>
    <w:p w:rsidR="00B0448F" w:rsidRPr="00B93665" w:rsidRDefault="00321F44" w:rsidP="00B9366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B93665">
        <w:rPr>
          <w:bCs/>
          <w:sz w:val="28"/>
          <w:szCs w:val="28"/>
        </w:rPr>
        <w:t>Достижение клинического излечения или ремиссии</w:t>
      </w:r>
      <w:r w:rsidR="00B0448F" w:rsidRPr="00B93665">
        <w:rPr>
          <w:sz w:val="28"/>
          <w:szCs w:val="28"/>
        </w:rPr>
        <w:t xml:space="preserve">: </w:t>
      </w:r>
      <w:r w:rsidR="00B93665" w:rsidRPr="00B93665">
        <w:rPr>
          <w:sz w:val="28"/>
          <w:szCs w:val="28"/>
        </w:rPr>
        <w:t>оценивается результат лечения пациента, выраженный в достижении клинического излечения либо устойчивой ремиссии. Учитывается степень восстановления функций организма, отсутствие прогрессирования заболевания, а также соответствие достигнутого результата исходной тяжести состояния пациента.</w:t>
      </w:r>
      <w:r w:rsidR="00B0448F" w:rsidRPr="00B93665">
        <w:rPr>
          <w:sz w:val="28"/>
          <w:szCs w:val="28"/>
        </w:rPr>
        <w:t xml:space="preserve"> </w:t>
      </w:r>
    </w:p>
    <w:p w:rsidR="00B0448F" w:rsidRPr="00B93665" w:rsidRDefault="00321F44" w:rsidP="00B9366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B93665">
        <w:rPr>
          <w:bCs/>
          <w:sz w:val="28"/>
          <w:szCs w:val="28"/>
        </w:rPr>
        <w:t>Улучшение качества жизни пациента</w:t>
      </w:r>
      <w:r w:rsidR="00B0448F" w:rsidRPr="00B93665">
        <w:rPr>
          <w:sz w:val="28"/>
          <w:szCs w:val="28"/>
        </w:rPr>
        <w:t xml:space="preserve">: </w:t>
      </w:r>
      <w:r w:rsidR="00B93665" w:rsidRPr="00B93665">
        <w:rPr>
          <w:sz w:val="28"/>
          <w:szCs w:val="28"/>
        </w:rPr>
        <w:t xml:space="preserve">оценивается влияние проведенного лечения на общее состояние пациента, включая восстановление физической активности, снижение болевого синдрома, улучшение функционального </w:t>
      </w:r>
      <w:r w:rsidR="00B93665" w:rsidRPr="00B93665">
        <w:rPr>
          <w:sz w:val="28"/>
          <w:szCs w:val="28"/>
        </w:rPr>
        <w:lastRenderedPageBreak/>
        <w:t>статуса и социальной адаптации. Учитывается как объективная клиническая динамика, так и субъективная оценка пациента.</w:t>
      </w:r>
      <w:r w:rsidR="00B0448F" w:rsidRPr="00B93665">
        <w:rPr>
          <w:sz w:val="28"/>
          <w:szCs w:val="28"/>
        </w:rPr>
        <w:t xml:space="preserve"> </w:t>
      </w:r>
    </w:p>
    <w:p w:rsidR="00B0448F" w:rsidRPr="00B93665" w:rsidRDefault="00321F44" w:rsidP="00B9366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B93665">
        <w:rPr>
          <w:bCs/>
          <w:sz w:val="28"/>
          <w:szCs w:val="28"/>
        </w:rPr>
        <w:t>Инновационность</w:t>
      </w:r>
      <w:proofErr w:type="spellEnd"/>
      <w:r w:rsidRPr="00B93665">
        <w:rPr>
          <w:bCs/>
          <w:sz w:val="28"/>
          <w:szCs w:val="28"/>
        </w:rPr>
        <w:t xml:space="preserve"> методов</w:t>
      </w:r>
      <w:r w:rsidR="00B0448F" w:rsidRPr="00B93665">
        <w:rPr>
          <w:sz w:val="28"/>
          <w:szCs w:val="28"/>
        </w:rPr>
        <w:t xml:space="preserve">: </w:t>
      </w:r>
      <w:r w:rsidR="00B93665" w:rsidRPr="00B93665">
        <w:rPr>
          <w:sz w:val="28"/>
          <w:szCs w:val="28"/>
        </w:rPr>
        <w:t>оценивается применение современных, высокотехнологичных или ранее не широко используемых методов диагностики и лечения, а также оригинальных клинических решений. Учитывается обоснованность выбора методов и их вклад в достижение положительного результата.</w:t>
      </w:r>
      <w:r w:rsidR="00B0448F" w:rsidRPr="00B93665">
        <w:rPr>
          <w:sz w:val="28"/>
          <w:szCs w:val="28"/>
        </w:rPr>
        <w:t xml:space="preserve"> </w:t>
      </w:r>
    </w:p>
    <w:p w:rsidR="00B0448F" w:rsidRPr="00B93665" w:rsidRDefault="00321F44" w:rsidP="00B9366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B93665">
        <w:rPr>
          <w:bCs/>
          <w:sz w:val="28"/>
          <w:szCs w:val="28"/>
        </w:rPr>
        <w:t>Мультидисциплинарный</w:t>
      </w:r>
      <w:proofErr w:type="spellEnd"/>
      <w:r w:rsidRPr="00B93665">
        <w:rPr>
          <w:bCs/>
          <w:sz w:val="28"/>
          <w:szCs w:val="28"/>
        </w:rPr>
        <w:t xml:space="preserve"> подход</w:t>
      </w:r>
      <w:r w:rsidR="00B0448F" w:rsidRPr="00B93665">
        <w:rPr>
          <w:sz w:val="28"/>
          <w:szCs w:val="28"/>
        </w:rPr>
        <w:t xml:space="preserve">: </w:t>
      </w:r>
      <w:r w:rsidR="00B93665" w:rsidRPr="00B93665">
        <w:rPr>
          <w:sz w:val="28"/>
          <w:szCs w:val="28"/>
        </w:rPr>
        <w:t>оценивается уровень взаимодействия специалистов различных профилей при ведении пациента, включая участие нескольких медицинских направлений, согласованность действий команды и комплексность оказания медицинской помощи</w:t>
      </w:r>
    </w:p>
    <w:p w:rsidR="00321F44" w:rsidRPr="002200A8" w:rsidRDefault="00321F44" w:rsidP="00B93665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B93665">
        <w:rPr>
          <w:sz w:val="28"/>
          <w:szCs w:val="28"/>
        </w:rPr>
        <w:t xml:space="preserve">Исключительность случая (сложность и редкость): </w:t>
      </w:r>
      <w:r w:rsidR="00B93665" w:rsidRPr="00B93665">
        <w:rPr>
          <w:sz w:val="28"/>
          <w:szCs w:val="28"/>
        </w:rPr>
        <w:t>оценивается степень клинической сложности случая, наличие редкой или сочетанной патологии, нестандартность течения заболевания и необходимость принятия нестандартных решений. Максимальные баллы присваиваются случаям, требующим высокой квалификации и уникального клинического подхода.</w:t>
      </w:r>
    </w:p>
    <w:p w:rsidR="00B0448F" w:rsidRDefault="00B0448F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692D3E" w:rsidRDefault="00692D3E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  <w:r w:rsidRPr="00692D3E">
        <w:rPr>
          <w:b/>
          <w:sz w:val="28"/>
          <w:szCs w:val="28"/>
        </w:rPr>
        <w:t>Этапы подачи заявки:</w:t>
      </w:r>
    </w:p>
    <w:p w:rsidR="00BC206B" w:rsidRPr="00BC206B" w:rsidRDefault="00BC206B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BC206B">
        <w:rPr>
          <w:b/>
          <w:sz w:val="28"/>
          <w:szCs w:val="28"/>
          <w:u w:val="single"/>
        </w:rPr>
        <w:t>Первый этап.</w:t>
      </w:r>
    </w:p>
    <w:p w:rsidR="00692D3E" w:rsidRPr="00644AB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 xml:space="preserve">Первый этап Республиканской премии «Врач года – Ак </w:t>
      </w:r>
      <w:proofErr w:type="spellStart"/>
      <w:r w:rsidRPr="000B2451">
        <w:rPr>
          <w:sz w:val="28"/>
          <w:szCs w:val="28"/>
        </w:rPr>
        <w:t>чәчәкләр</w:t>
      </w:r>
      <w:proofErr w:type="spellEnd"/>
      <w:r w:rsidRPr="000B2451">
        <w:rPr>
          <w:sz w:val="28"/>
          <w:szCs w:val="28"/>
        </w:rPr>
        <w:t xml:space="preserve">» </w:t>
      </w:r>
      <w:r w:rsidRPr="00900984">
        <w:rPr>
          <w:b/>
          <w:sz w:val="28"/>
          <w:szCs w:val="28"/>
        </w:rPr>
        <w:t xml:space="preserve">проводится </w:t>
      </w:r>
      <w:r w:rsidRPr="00900984">
        <w:rPr>
          <w:rStyle w:val="a8"/>
          <w:sz w:val="28"/>
          <w:szCs w:val="28"/>
        </w:rPr>
        <w:t>на уровне медицинских объединений Республики Татарстан, специализированных республиканских медицинских организаций</w:t>
      </w:r>
      <w:r w:rsidRPr="000B2451">
        <w:rPr>
          <w:rStyle w:val="a8"/>
          <w:b w:val="0"/>
          <w:sz w:val="28"/>
          <w:szCs w:val="28"/>
        </w:rPr>
        <w:t xml:space="preserve">, </w:t>
      </w:r>
      <w:r w:rsidRPr="00900984">
        <w:rPr>
          <w:rStyle w:val="a8"/>
          <w:sz w:val="28"/>
          <w:szCs w:val="28"/>
        </w:rPr>
        <w:t>системы детского здравоохранения и медицинских организаций города Казани</w:t>
      </w:r>
      <w:r w:rsidR="00644AB1">
        <w:rPr>
          <w:rStyle w:val="a8"/>
          <w:sz w:val="28"/>
          <w:szCs w:val="28"/>
        </w:rPr>
        <w:t xml:space="preserve">, </w:t>
      </w:r>
      <w:r w:rsidR="00644AB1" w:rsidRPr="00644AB1">
        <w:rPr>
          <w:rStyle w:val="a8"/>
          <w:sz w:val="28"/>
          <w:szCs w:val="28"/>
        </w:rPr>
        <w:t>Набережные Челны, Альметьевска (зональный отбор)</w:t>
      </w:r>
      <w:r w:rsidR="00900984" w:rsidRPr="00644AB1">
        <w:rPr>
          <w:rStyle w:val="a8"/>
          <w:sz w:val="28"/>
          <w:szCs w:val="28"/>
        </w:rPr>
        <w:t xml:space="preserve"> (зональный отбор)</w:t>
      </w:r>
      <w:r w:rsidRPr="00644AB1">
        <w:rPr>
          <w:sz w:val="28"/>
          <w:szCs w:val="28"/>
        </w:rPr>
        <w:t>. На данном этапе осуществляется предварительный отбор кандидатов по всем номинациям конкурса.</w:t>
      </w:r>
      <w:r w:rsidR="00BC206B" w:rsidRPr="00644AB1">
        <w:rPr>
          <w:sz w:val="28"/>
          <w:szCs w:val="28"/>
        </w:rPr>
        <w:t xml:space="preserve"> Первый этап необходимо завершить до 25 апреля 2025г.</w:t>
      </w:r>
    </w:p>
    <w:p w:rsidR="00602A45" w:rsidRPr="00644AB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 xml:space="preserve">В медицинских организациях </w:t>
      </w:r>
      <w:r w:rsidR="00644AB1" w:rsidRPr="00644AB1">
        <w:rPr>
          <w:sz w:val="28"/>
          <w:szCs w:val="28"/>
        </w:rPr>
        <w:t>Заявки на выдвижение</w:t>
      </w:r>
      <w:r w:rsidRPr="00644AB1">
        <w:rPr>
          <w:sz w:val="28"/>
          <w:szCs w:val="28"/>
        </w:rPr>
        <w:t xml:space="preserve"> рассматриваются на общих собраниях трудовых коллективов. Решение о выдвижении </w:t>
      </w:r>
      <w:r w:rsidR="00644AB1" w:rsidRPr="00644AB1">
        <w:rPr>
          <w:sz w:val="28"/>
          <w:szCs w:val="28"/>
        </w:rPr>
        <w:t>Заявки</w:t>
      </w:r>
      <w:r w:rsidRPr="00644AB1">
        <w:rPr>
          <w:sz w:val="28"/>
          <w:szCs w:val="28"/>
        </w:rPr>
        <w:t xml:space="preserve"> принимается </w:t>
      </w:r>
      <w:r w:rsidRPr="00644AB1">
        <w:rPr>
          <w:rStyle w:val="a8"/>
          <w:b w:val="0"/>
          <w:sz w:val="28"/>
          <w:szCs w:val="28"/>
        </w:rPr>
        <w:t>путем открытого голосования</w:t>
      </w:r>
      <w:r w:rsidRPr="00644AB1">
        <w:rPr>
          <w:sz w:val="28"/>
          <w:szCs w:val="28"/>
        </w:rPr>
        <w:t xml:space="preserve"> и оформляется протоколом общего собрания в соответствии с Приложением №1 к настоящему Положению.</w:t>
      </w:r>
    </w:p>
    <w:p w:rsidR="00644AB1" w:rsidRPr="00644AB1" w:rsidRDefault="00644AB1" w:rsidP="00644AB1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 xml:space="preserve">Кураторы медицинских объединений Республики Татарстан, куратор системы детского здравоохранения, управление здравоохранения города Казани, управление здравоохранения по городу Набережные Челны, управление здравоохранения по </w:t>
      </w:r>
      <w:proofErr w:type="spellStart"/>
      <w:r w:rsidRPr="00644AB1">
        <w:rPr>
          <w:sz w:val="28"/>
          <w:szCs w:val="28"/>
        </w:rPr>
        <w:t>Альметьевскому</w:t>
      </w:r>
      <w:proofErr w:type="spellEnd"/>
      <w:r w:rsidRPr="00644AB1">
        <w:rPr>
          <w:sz w:val="28"/>
          <w:szCs w:val="28"/>
        </w:rPr>
        <w:t xml:space="preserve"> муниципальному округу обеспечивают проведение отбора </w:t>
      </w:r>
      <w:r w:rsidRPr="00644AB1">
        <w:rPr>
          <w:sz w:val="28"/>
          <w:szCs w:val="28"/>
        </w:rPr>
        <w:t>Заявок</w:t>
      </w:r>
      <w:r w:rsidRPr="00644AB1">
        <w:rPr>
          <w:sz w:val="28"/>
          <w:szCs w:val="28"/>
        </w:rPr>
        <w:t xml:space="preserve"> на закрепленных территориях.</w:t>
      </w:r>
    </w:p>
    <w:p w:rsidR="00644AB1" w:rsidRPr="00644AB1" w:rsidRDefault="00644AB1" w:rsidP="00644AB1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b/>
          <w:sz w:val="28"/>
          <w:szCs w:val="28"/>
          <w:u w:val="single"/>
        </w:rPr>
        <w:t>По итогам зонального отбора</w:t>
      </w:r>
      <w:r w:rsidRPr="00644AB1">
        <w:rPr>
          <w:sz w:val="28"/>
          <w:szCs w:val="28"/>
        </w:rPr>
        <w:t xml:space="preserve"> в Министерство здравоохранения Республики Татарстан представляются </w:t>
      </w:r>
      <w:r w:rsidRPr="00644AB1">
        <w:rPr>
          <w:b/>
          <w:sz w:val="28"/>
          <w:szCs w:val="28"/>
          <w:u w:val="single"/>
        </w:rPr>
        <w:t>не более одной Заявки</w:t>
      </w:r>
      <w:r w:rsidRPr="00644AB1">
        <w:rPr>
          <w:rStyle w:val="a8"/>
          <w:b w:val="0"/>
          <w:sz w:val="28"/>
          <w:szCs w:val="28"/>
        </w:rPr>
        <w:t xml:space="preserve"> </w:t>
      </w:r>
      <w:r w:rsidRPr="00644AB1">
        <w:rPr>
          <w:sz w:val="28"/>
          <w:szCs w:val="28"/>
        </w:rPr>
        <w:t>от каждого медицинского объединения и системы детского здравоохранения.</w:t>
      </w:r>
    </w:p>
    <w:p w:rsidR="00644AB1" w:rsidRPr="00644AB1" w:rsidRDefault="00644AB1" w:rsidP="00644AB1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b/>
          <w:sz w:val="28"/>
          <w:szCs w:val="28"/>
        </w:rPr>
        <w:t>Специализированные республиканские медицинские организации</w:t>
      </w:r>
      <w:r w:rsidRPr="00644AB1">
        <w:rPr>
          <w:sz w:val="28"/>
          <w:szCs w:val="28"/>
        </w:rPr>
        <w:t xml:space="preserve"> вправе </w:t>
      </w:r>
      <w:proofErr w:type="gramStart"/>
      <w:r w:rsidRPr="00644AB1">
        <w:rPr>
          <w:sz w:val="28"/>
          <w:szCs w:val="28"/>
        </w:rPr>
        <w:t xml:space="preserve">представить </w:t>
      </w:r>
      <w:r w:rsidRPr="00644AB1">
        <w:rPr>
          <w:rStyle w:val="a8"/>
          <w:b w:val="0"/>
          <w:sz w:val="28"/>
          <w:szCs w:val="28"/>
        </w:rPr>
        <w:t xml:space="preserve"> </w:t>
      </w:r>
      <w:r w:rsidRPr="00644AB1">
        <w:rPr>
          <w:rStyle w:val="a8"/>
          <w:sz w:val="28"/>
          <w:szCs w:val="28"/>
          <w:u w:val="single"/>
        </w:rPr>
        <w:t>не</w:t>
      </w:r>
      <w:proofErr w:type="gramEnd"/>
      <w:r w:rsidRPr="00644AB1">
        <w:rPr>
          <w:rStyle w:val="a8"/>
          <w:sz w:val="28"/>
          <w:szCs w:val="28"/>
          <w:u w:val="single"/>
        </w:rPr>
        <w:t xml:space="preserve"> более одной Заявки</w:t>
      </w:r>
      <w:r w:rsidRPr="00644AB1">
        <w:rPr>
          <w:rStyle w:val="a8"/>
          <w:b w:val="0"/>
          <w:sz w:val="28"/>
          <w:szCs w:val="28"/>
        </w:rPr>
        <w:t xml:space="preserve"> </w:t>
      </w:r>
      <w:r w:rsidRPr="00644AB1">
        <w:rPr>
          <w:sz w:val="28"/>
          <w:szCs w:val="28"/>
        </w:rPr>
        <w:t>непосредственно в Министерство здравоохранения Республики Татарстан.</w:t>
      </w:r>
    </w:p>
    <w:p w:rsidR="00602A45" w:rsidRPr="00644AB1" w:rsidRDefault="00644AB1" w:rsidP="00644AB1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 xml:space="preserve">Отбор </w:t>
      </w:r>
      <w:r w:rsidRPr="00644AB1">
        <w:rPr>
          <w:sz w:val="28"/>
          <w:szCs w:val="28"/>
        </w:rPr>
        <w:t>Заявок</w:t>
      </w:r>
      <w:r w:rsidRPr="00644AB1">
        <w:rPr>
          <w:sz w:val="28"/>
          <w:szCs w:val="28"/>
        </w:rPr>
        <w:t xml:space="preserve"> среди </w:t>
      </w:r>
      <w:r w:rsidRPr="00644AB1">
        <w:rPr>
          <w:b/>
          <w:sz w:val="28"/>
          <w:szCs w:val="28"/>
        </w:rPr>
        <w:t>медицинских организаций города Казани, Набережные Челны и Альметьевска</w:t>
      </w:r>
      <w:r w:rsidRPr="00644AB1">
        <w:rPr>
          <w:sz w:val="28"/>
          <w:szCs w:val="28"/>
        </w:rPr>
        <w:t xml:space="preserve"> осуществляется </w:t>
      </w:r>
      <w:r w:rsidRPr="00644AB1">
        <w:rPr>
          <w:rStyle w:val="a8"/>
          <w:b w:val="0"/>
          <w:sz w:val="28"/>
          <w:szCs w:val="28"/>
        </w:rPr>
        <w:t>Управлением здравоохранения</w:t>
      </w:r>
      <w:r w:rsidRPr="00644AB1">
        <w:rPr>
          <w:sz w:val="28"/>
          <w:szCs w:val="28"/>
        </w:rPr>
        <w:t xml:space="preserve">, которое по итогам проведенного отбора направляет в Министерство здравоохранения Республики Татарстан </w:t>
      </w:r>
      <w:r w:rsidRPr="00644AB1">
        <w:rPr>
          <w:b/>
          <w:sz w:val="28"/>
          <w:szCs w:val="28"/>
          <w:u w:val="single"/>
        </w:rPr>
        <w:t>не более одной Заявки</w:t>
      </w:r>
      <w:r w:rsidRPr="00644AB1">
        <w:rPr>
          <w:rStyle w:val="a8"/>
          <w:b w:val="0"/>
          <w:sz w:val="28"/>
          <w:szCs w:val="28"/>
        </w:rPr>
        <w:t xml:space="preserve"> по данной номинации</w:t>
      </w:r>
      <w:r w:rsidRPr="00644AB1">
        <w:rPr>
          <w:sz w:val="28"/>
          <w:szCs w:val="28"/>
        </w:rPr>
        <w:t>.</w:t>
      </w:r>
    </w:p>
    <w:p w:rsidR="00F23EEC" w:rsidRPr="00644AB1" w:rsidRDefault="00602A45" w:rsidP="00F23EE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lastRenderedPageBreak/>
        <w:t xml:space="preserve">Все представляемые </w:t>
      </w:r>
      <w:r w:rsidR="00B0448F" w:rsidRPr="00644AB1">
        <w:rPr>
          <w:sz w:val="28"/>
          <w:szCs w:val="28"/>
        </w:rPr>
        <w:t>заявки</w:t>
      </w:r>
      <w:r w:rsidRPr="00644AB1">
        <w:rPr>
          <w:sz w:val="28"/>
          <w:szCs w:val="28"/>
        </w:rPr>
        <w:t xml:space="preserve"> должны сопровождаться протоколами рассмотрения на уровне медицинских организаций и соответствующих кураторских структур.</w:t>
      </w:r>
      <w:r w:rsidR="00F23EEC" w:rsidRPr="00644AB1">
        <w:rPr>
          <w:sz w:val="28"/>
          <w:szCs w:val="28"/>
        </w:rPr>
        <w:t xml:space="preserve"> Документы формируются в отдельную папку с файловыми разделителями для удобства рассмотрения конкурсной комиссией.</w:t>
      </w:r>
    </w:p>
    <w:p w:rsidR="00F23EEC" w:rsidRPr="00644AB1" w:rsidRDefault="00644AB1" w:rsidP="00F23EE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 xml:space="preserve">Дополнительно информация </w:t>
      </w:r>
      <w:r w:rsidR="00F23EEC" w:rsidRPr="00644AB1">
        <w:rPr>
          <w:sz w:val="28"/>
          <w:szCs w:val="28"/>
        </w:rPr>
        <w:t xml:space="preserve">представляется в виде презентации (формат </w:t>
      </w:r>
      <w:proofErr w:type="spellStart"/>
      <w:r w:rsidR="00F23EEC" w:rsidRPr="00644AB1">
        <w:rPr>
          <w:sz w:val="28"/>
          <w:szCs w:val="28"/>
        </w:rPr>
        <w:t>PowerPoint</w:t>
      </w:r>
      <w:proofErr w:type="spellEnd"/>
      <w:r w:rsidR="00F23EEC" w:rsidRPr="00644AB1">
        <w:rPr>
          <w:sz w:val="28"/>
          <w:szCs w:val="28"/>
        </w:rPr>
        <w:t>) и направляется на электронный адрес организационного комитета.</w:t>
      </w:r>
    </w:p>
    <w:p w:rsidR="00BC206B" w:rsidRPr="00644AB1" w:rsidRDefault="00BC206B" w:rsidP="00BC206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C206B" w:rsidRPr="00644AB1" w:rsidRDefault="00BC206B" w:rsidP="00BC206B">
      <w:pPr>
        <w:widowControl/>
        <w:autoSpaceDE/>
        <w:autoSpaceDN/>
        <w:adjustRightInd/>
        <w:ind w:firstLine="851"/>
        <w:jc w:val="both"/>
        <w:outlineLvl w:val="2"/>
        <w:rPr>
          <w:b/>
          <w:bCs/>
          <w:sz w:val="28"/>
          <w:szCs w:val="28"/>
        </w:rPr>
      </w:pPr>
      <w:r w:rsidRPr="00644AB1">
        <w:rPr>
          <w:b/>
          <w:bCs/>
          <w:sz w:val="28"/>
          <w:szCs w:val="28"/>
        </w:rPr>
        <w:t xml:space="preserve"> Второй этап. 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 xml:space="preserve">Второй этап Республиканской премии проводится Министерством здравоохранения Республики Татарстан </w:t>
      </w:r>
      <w:r w:rsidRPr="00644AB1">
        <w:rPr>
          <w:rStyle w:val="a8"/>
          <w:b w:val="0"/>
          <w:sz w:val="28"/>
          <w:szCs w:val="28"/>
        </w:rPr>
        <w:t>до 15 мая 2026 года</w:t>
      </w:r>
      <w:r w:rsidRPr="00644AB1">
        <w:rPr>
          <w:sz w:val="28"/>
          <w:szCs w:val="28"/>
        </w:rPr>
        <w:t>.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 xml:space="preserve">На заседании рабочей группы по подготовке Премии рассматриваются представленные материалы и путем </w:t>
      </w:r>
      <w:r w:rsidRPr="00644AB1">
        <w:rPr>
          <w:rStyle w:val="a8"/>
          <w:b w:val="0"/>
          <w:sz w:val="28"/>
          <w:szCs w:val="28"/>
        </w:rPr>
        <w:t>открытого голосования</w:t>
      </w:r>
      <w:r w:rsidRPr="00644AB1">
        <w:rPr>
          <w:sz w:val="28"/>
          <w:szCs w:val="28"/>
        </w:rPr>
        <w:t xml:space="preserve"> принимается решение о формировании списка номинантов Республиканской премии — </w:t>
      </w:r>
      <w:r w:rsidRPr="00644AB1">
        <w:rPr>
          <w:rStyle w:val="a8"/>
          <w:b w:val="0"/>
          <w:sz w:val="28"/>
          <w:szCs w:val="28"/>
        </w:rPr>
        <w:t xml:space="preserve">три </w:t>
      </w:r>
      <w:r w:rsidR="00F23EEC" w:rsidRPr="00644AB1">
        <w:rPr>
          <w:rStyle w:val="a8"/>
          <w:b w:val="0"/>
          <w:sz w:val="28"/>
          <w:szCs w:val="28"/>
        </w:rPr>
        <w:t>заявки</w:t>
      </w:r>
      <w:r w:rsidRPr="00644AB1">
        <w:rPr>
          <w:rStyle w:val="a8"/>
          <w:b w:val="0"/>
          <w:sz w:val="28"/>
          <w:szCs w:val="28"/>
        </w:rPr>
        <w:t>, которые выходят в Финал Премии.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>Заседание рабочей группы считается правомочным при участии не менее половины ее состава. Решение считается принятым, если за него проголосовало большинство присутствующих членов рабочей группы.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>Решение рабочей группы оформляется протоколом и подлежит обязательному размещению на официальном сайте Министерства здравоохранения Республики Татарстан, а также освещению в средствах массовой информации.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 xml:space="preserve">Подведение итогов Республиканской премии осуществляется на заседании Общественного совета при Министерстве здравоохранения Республики Татарстан. На данном этапе проводится коллегиальное обсуждение кандидатур и </w:t>
      </w:r>
      <w:r w:rsidRPr="00644AB1">
        <w:rPr>
          <w:rStyle w:val="a8"/>
          <w:b w:val="0"/>
          <w:sz w:val="28"/>
          <w:szCs w:val="28"/>
        </w:rPr>
        <w:t>утверждение списка финалистов</w:t>
      </w:r>
      <w:r w:rsidRPr="00644AB1">
        <w:rPr>
          <w:sz w:val="28"/>
          <w:szCs w:val="28"/>
        </w:rPr>
        <w:t>, сформированного рабочей группой.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>В случае если Общественный совет принимает решение о невозможности утверждения представленных кандидатур, материалы подлежат дополнительному рассмотрению рабочей группой с последующим повторным представлением на утверждение Общественного совета.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 xml:space="preserve">Окончательное определение победителя по указанной номинации осуществляется в рамках </w:t>
      </w:r>
      <w:r w:rsidRPr="00644AB1">
        <w:rPr>
          <w:rStyle w:val="a8"/>
          <w:b w:val="0"/>
          <w:sz w:val="28"/>
          <w:szCs w:val="28"/>
        </w:rPr>
        <w:t xml:space="preserve">торжественного фестиваля Республиканской премии «Врач года – Ак </w:t>
      </w:r>
      <w:proofErr w:type="spellStart"/>
      <w:r w:rsidRPr="00644AB1">
        <w:rPr>
          <w:rStyle w:val="a8"/>
          <w:b w:val="0"/>
          <w:sz w:val="28"/>
          <w:szCs w:val="28"/>
        </w:rPr>
        <w:t>чәчәкләр</w:t>
      </w:r>
      <w:proofErr w:type="spellEnd"/>
      <w:r w:rsidRPr="00644AB1">
        <w:rPr>
          <w:rStyle w:val="a8"/>
          <w:b w:val="0"/>
          <w:sz w:val="28"/>
          <w:szCs w:val="28"/>
        </w:rPr>
        <w:t>»</w:t>
      </w:r>
      <w:r w:rsidRPr="00644AB1">
        <w:rPr>
          <w:sz w:val="28"/>
          <w:szCs w:val="28"/>
        </w:rPr>
        <w:t>, проводимого в городе Казани.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>С целью повышения открытости и публичности конкурса допускается использование интерактивных форм определения победителей, в том числе элементов случайного выбора среди финалистов, проводимых в присутствии членов Общественного совета, представителей профессионального сообщества и общественности.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44AB1">
        <w:rPr>
          <w:sz w:val="28"/>
          <w:szCs w:val="28"/>
        </w:rPr>
        <w:t>Победителям Премии вручаются диплом лауреата, памятная статуэтка и приз. Победители имеют право использовать наименование присужденной номинации в профессиональной деятельности и официальных информационных материалов.</w:t>
      </w: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C206B" w:rsidRPr="00644AB1" w:rsidRDefault="00BC206B" w:rsidP="00BC206B">
      <w:pPr>
        <w:pStyle w:val="a7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644AB1">
        <w:rPr>
          <w:b/>
          <w:bCs/>
          <w:color w:val="000000"/>
          <w:spacing w:val="-6"/>
          <w:sz w:val="28"/>
          <w:szCs w:val="28"/>
        </w:rPr>
        <w:t>Прием документов и материалов</w:t>
      </w:r>
    </w:p>
    <w:p w:rsidR="00BC206B" w:rsidRPr="000964AA" w:rsidRDefault="00BC206B" w:rsidP="00BC206B">
      <w:pPr>
        <w:shd w:val="clear" w:color="auto" w:fill="FFFFFF"/>
        <w:ind w:left="14" w:right="48" w:firstLine="691"/>
        <w:jc w:val="both"/>
        <w:rPr>
          <w:sz w:val="28"/>
          <w:szCs w:val="28"/>
        </w:rPr>
      </w:pPr>
      <w:r w:rsidRPr="00644AB1">
        <w:rPr>
          <w:color w:val="000000"/>
          <w:spacing w:val="-5"/>
          <w:sz w:val="28"/>
          <w:szCs w:val="28"/>
        </w:rPr>
        <w:t xml:space="preserve">Все документы, оформленные в соответствии с изложенными выше </w:t>
      </w:r>
      <w:r w:rsidRPr="00644AB1">
        <w:rPr>
          <w:color w:val="000000"/>
          <w:spacing w:val="-6"/>
          <w:sz w:val="28"/>
          <w:szCs w:val="28"/>
        </w:rPr>
        <w:t>требованиями</w:t>
      </w:r>
      <w:r w:rsidR="003861A5" w:rsidRPr="00644AB1">
        <w:rPr>
          <w:color w:val="000000"/>
          <w:spacing w:val="-6"/>
          <w:sz w:val="28"/>
          <w:szCs w:val="28"/>
          <w:lang w:val="tt-RU"/>
        </w:rPr>
        <w:t xml:space="preserve"> </w:t>
      </w:r>
      <w:r w:rsidR="003861A5" w:rsidRPr="00644AB1">
        <w:rPr>
          <w:b/>
          <w:color w:val="000000"/>
          <w:spacing w:val="-6"/>
          <w:sz w:val="28"/>
          <w:szCs w:val="28"/>
          <w:u w:val="single"/>
          <w:lang w:val="tt-RU"/>
        </w:rPr>
        <w:t>по итогам зонал</w:t>
      </w:r>
      <w:proofErr w:type="spellStart"/>
      <w:r w:rsidR="003861A5" w:rsidRPr="00644AB1">
        <w:rPr>
          <w:b/>
          <w:color w:val="000000"/>
          <w:spacing w:val="-6"/>
          <w:sz w:val="28"/>
          <w:szCs w:val="28"/>
          <w:u w:val="single"/>
        </w:rPr>
        <w:t>ьного</w:t>
      </w:r>
      <w:proofErr w:type="spellEnd"/>
      <w:r w:rsidR="003861A5" w:rsidRPr="00644AB1">
        <w:rPr>
          <w:b/>
          <w:color w:val="000000"/>
          <w:spacing w:val="-6"/>
          <w:sz w:val="28"/>
          <w:szCs w:val="28"/>
          <w:u w:val="single"/>
        </w:rPr>
        <w:t xml:space="preserve"> этапа</w:t>
      </w:r>
      <w:r w:rsidRPr="00644AB1">
        <w:rPr>
          <w:color w:val="000000"/>
          <w:spacing w:val="-6"/>
          <w:sz w:val="28"/>
          <w:szCs w:val="28"/>
        </w:rPr>
        <w:t xml:space="preserve">, доставляются лично, нарочным или отправляются заказным </w:t>
      </w:r>
      <w:r w:rsidRPr="00644AB1">
        <w:rPr>
          <w:color w:val="000000"/>
          <w:spacing w:val="-7"/>
          <w:sz w:val="28"/>
          <w:szCs w:val="28"/>
        </w:rPr>
        <w:t xml:space="preserve">письмом в Министерство здравоохранения Республики </w:t>
      </w:r>
      <w:r w:rsidRPr="00644AB1">
        <w:rPr>
          <w:color w:val="000000"/>
          <w:spacing w:val="-7"/>
          <w:sz w:val="28"/>
          <w:szCs w:val="28"/>
        </w:rPr>
        <w:lastRenderedPageBreak/>
        <w:t xml:space="preserve">Татарстан, в отдел медицинского образования и аттестации, </w:t>
      </w:r>
      <w:r w:rsidRPr="00644AB1">
        <w:rPr>
          <w:color w:val="000000"/>
          <w:spacing w:val="-5"/>
          <w:sz w:val="28"/>
          <w:szCs w:val="28"/>
        </w:rPr>
        <w:t>с пометкой «На Республикан</w:t>
      </w:r>
      <w:r w:rsidRPr="00644AB1">
        <w:rPr>
          <w:color w:val="000000"/>
          <w:sz w:val="28"/>
          <w:szCs w:val="28"/>
        </w:rPr>
        <w:t xml:space="preserve">скую премию </w:t>
      </w:r>
      <w:r w:rsidRPr="00644AB1">
        <w:rPr>
          <w:spacing w:val="-5"/>
          <w:sz w:val="28"/>
          <w:szCs w:val="28"/>
        </w:rPr>
        <w:t xml:space="preserve">«Врач года – Ак </w:t>
      </w:r>
      <w:proofErr w:type="spellStart"/>
      <w:r w:rsidRPr="00644AB1">
        <w:rPr>
          <w:spacing w:val="-5"/>
          <w:sz w:val="28"/>
          <w:szCs w:val="28"/>
        </w:rPr>
        <w:t>чәчәкләр</w:t>
      </w:r>
      <w:proofErr w:type="spellEnd"/>
      <w:r w:rsidRPr="00644AB1">
        <w:rPr>
          <w:spacing w:val="-5"/>
          <w:sz w:val="28"/>
          <w:szCs w:val="28"/>
        </w:rPr>
        <w:t>»</w:t>
      </w:r>
      <w:r w:rsidRPr="00644AB1">
        <w:rPr>
          <w:color w:val="000000"/>
          <w:spacing w:val="-5"/>
          <w:sz w:val="28"/>
          <w:szCs w:val="28"/>
        </w:rPr>
        <w:t>. Адрес: г. Казань, ул. Бутлерова, д. 40/11. Телефоны для справок: 222-70-</w:t>
      </w:r>
      <w:r w:rsidRPr="00644AB1">
        <w:rPr>
          <w:color w:val="000000"/>
          <w:spacing w:val="-17"/>
          <w:sz w:val="28"/>
          <w:szCs w:val="28"/>
        </w:rPr>
        <w:t>77, 222-70-17</w:t>
      </w:r>
      <w:r w:rsidRPr="00644AB1">
        <w:rPr>
          <w:color w:val="000000"/>
          <w:spacing w:val="-5"/>
          <w:sz w:val="28"/>
          <w:szCs w:val="28"/>
        </w:rPr>
        <w:t>.</w:t>
      </w:r>
    </w:p>
    <w:p w:rsidR="00B27989" w:rsidRPr="000964AA" w:rsidRDefault="00B27989" w:rsidP="00B27989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sectPr w:rsidR="00B27989" w:rsidRPr="000964AA" w:rsidSect="003252EE">
      <w:pgSz w:w="11909" w:h="16834"/>
      <w:pgMar w:top="1134" w:right="994" w:bottom="851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6C47E2"/>
    <w:lvl w:ilvl="0">
      <w:numFmt w:val="bullet"/>
      <w:lvlText w:val="*"/>
      <w:lvlJc w:val="left"/>
    </w:lvl>
  </w:abstractNum>
  <w:abstractNum w:abstractNumId="1" w15:restartNumberingAfterBreak="0">
    <w:nsid w:val="016F1FB8"/>
    <w:multiLevelType w:val="multilevel"/>
    <w:tmpl w:val="39AA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3B5C"/>
    <w:multiLevelType w:val="multilevel"/>
    <w:tmpl w:val="FD7A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78D1"/>
    <w:multiLevelType w:val="multilevel"/>
    <w:tmpl w:val="6CBA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A67E0"/>
    <w:multiLevelType w:val="hybridMultilevel"/>
    <w:tmpl w:val="5C5EE0C4"/>
    <w:lvl w:ilvl="0" w:tplc="7236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54C72"/>
    <w:multiLevelType w:val="multilevel"/>
    <w:tmpl w:val="3894E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7FE6595"/>
    <w:multiLevelType w:val="multilevel"/>
    <w:tmpl w:val="A8D6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01B15"/>
    <w:multiLevelType w:val="multilevel"/>
    <w:tmpl w:val="3CD2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922D7"/>
    <w:multiLevelType w:val="hybridMultilevel"/>
    <w:tmpl w:val="988CD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64347"/>
    <w:multiLevelType w:val="multilevel"/>
    <w:tmpl w:val="9F30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34713"/>
    <w:multiLevelType w:val="multilevel"/>
    <w:tmpl w:val="ED6C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901F0"/>
    <w:multiLevelType w:val="multilevel"/>
    <w:tmpl w:val="16EE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B1A64"/>
    <w:multiLevelType w:val="hybridMultilevel"/>
    <w:tmpl w:val="F30A5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CA1BA0"/>
    <w:multiLevelType w:val="multilevel"/>
    <w:tmpl w:val="F52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956B4"/>
    <w:multiLevelType w:val="hybridMultilevel"/>
    <w:tmpl w:val="E0A24B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9C77CE"/>
    <w:multiLevelType w:val="hybridMultilevel"/>
    <w:tmpl w:val="F3441C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9092C31"/>
    <w:multiLevelType w:val="multilevel"/>
    <w:tmpl w:val="F93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F33C3"/>
    <w:multiLevelType w:val="multilevel"/>
    <w:tmpl w:val="12A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7"/>
  </w:num>
  <w:num w:numId="11">
    <w:abstractNumId w:val="11"/>
  </w:num>
  <w:num w:numId="12">
    <w:abstractNumId w:val="7"/>
  </w:num>
  <w:num w:numId="13">
    <w:abstractNumId w:val="1"/>
  </w:num>
  <w:num w:numId="14">
    <w:abstractNumId w:val="16"/>
  </w:num>
  <w:num w:numId="15">
    <w:abstractNumId w:val="3"/>
  </w:num>
  <w:num w:numId="16">
    <w:abstractNumId w:val="9"/>
  </w:num>
  <w:num w:numId="17">
    <w:abstractNumId w:val="13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89"/>
    <w:rsid w:val="000440ED"/>
    <w:rsid w:val="0008636E"/>
    <w:rsid w:val="00093A1C"/>
    <w:rsid w:val="000959F3"/>
    <w:rsid w:val="000964AA"/>
    <w:rsid w:val="000B2451"/>
    <w:rsid w:val="001135F6"/>
    <w:rsid w:val="00132118"/>
    <w:rsid w:val="00194D7D"/>
    <w:rsid w:val="00196C7C"/>
    <w:rsid w:val="001C2306"/>
    <w:rsid w:val="001E1861"/>
    <w:rsid w:val="001E4565"/>
    <w:rsid w:val="00214280"/>
    <w:rsid w:val="002200A8"/>
    <w:rsid w:val="00233DD0"/>
    <w:rsid w:val="00253B77"/>
    <w:rsid w:val="00254C4B"/>
    <w:rsid w:val="002715F0"/>
    <w:rsid w:val="002770F6"/>
    <w:rsid w:val="002C1EB9"/>
    <w:rsid w:val="00311868"/>
    <w:rsid w:val="00316F2A"/>
    <w:rsid w:val="00321F44"/>
    <w:rsid w:val="00322E79"/>
    <w:rsid w:val="003252EE"/>
    <w:rsid w:val="003861A5"/>
    <w:rsid w:val="003F01D7"/>
    <w:rsid w:val="00413C31"/>
    <w:rsid w:val="00414EDB"/>
    <w:rsid w:val="00456E9D"/>
    <w:rsid w:val="0046515C"/>
    <w:rsid w:val="004746C8"/>
    <w:rsid w:val="00494C33"/>
    <w:rsid w:val="004B4628"/>
    <w:rsid w:val="004B64CA"/>
    <w:rsid w:val="00507805"/>
    <w:rsid w:val="00513EE8"/>
    <w:rsid w:val="00546375"/>
    <w:rsid w:val="0057459F"/>
    <w:rsid w:val="00580321"/>
    <w:rsid w:val="005D3AB3"/>
    <w:rsid w:val="005E0FED"/>
    <w:rsid w:val="005E2C4D"/>
    <w:rsid w:val="005E3AC7"/>
    <w:rsid w:val="00602A45"/>
    <w:rsid w:val="006176AE"/>
    <w:rsid w:val="00624D57"/>
    <w:rsid w:val="00632683"/>
    <w:rsid w:val="00644AB1"/>
    <w:rsid w:val="00665E44"/>
    <w:rsid w:val="006866DA"/>
    <w:rsid w:val="006868BF"/>
    <w:rsid w:val="00692D3E"/>
    <w:rsid w:val="00696C14"/>
    <w:rsid w:val="006E1180"/>
    <w:rsid w:val="006F3981"/>
    <w:rsid w:val="00705F66"/>
    <w:rsid w:val="00714782"/>
    <w:rsid w:val="00714903"/>
    <w:rsid w:val="007201B4"/>
    <w:rsid w:val="00724079"/>
    <w:rsid w:val="00745D7F"/>
    <w:rsid w:val="00782DCB"/>
    <w:rsid w:val="007A07ED"/>
    <w:rsid w:val="007B23ED"/>
    <w:rsid w:val="007E5E38"/>
    <w:rsid w:val="008D107E"/>
    <w:rsid w:val="00900984"/>
    <w:rsid w:val="0090594B"/>
    <w:rsid w:val="0091333C"/>
    <w:rsid w:val="0091771E"/>
    <w:rsid w:val="009247BA"/>
    <w:rsid w:val="00976365"/>
    <w:rsid w:val="0098590C"/>
    <w:rsid w:val="009C308D"/>
    <w:rsid w:val="009C36DA"/>
    <w:rsid w:val="009D243A"/>
    <w:rsid w:val="009F3160"/>
    <w:rsid w:val="009F713F"/>
    <w:rsid w:val="00A13F59"/>
    <w:rsid w:val="00A211FB"/>
    <w:rsid w:val="00A4296D"/>
    <w:rsid w:val="00A46127"/>
    <w:rsid w:val="00A51DA0"/>
    <w:rsid w:val="00A70420"/>
    <w:rsid w:val="00B03F7D"/>
    <w:rsid w:val="00B0448F"/>
    <w:rsid w:val="00B27989"/>
    <w:rsid w:val="00B44207"/>
    <w:rsid w:val="00B91BB5"/>
    <w:rsid w:val="00B91E4D"/>
    <w:rsid w:val="00B93665"/>
    <w:rsid w:val="00BC206B"/>
    <w:rsid w:val="00BD715B"/>
    <w:rsid w:val="00C674EE"/>
    <w:rsid w:val="00C75186"/>
    <w:rsid w:val="00CD0182"/>
    <w:rsid w:val="00CE5BF1"/>
    <w:rsid w:val="00CE77C6"/>
    <w:rsid w:val="00D4492B"/>
    <w:rsid w:val="00DE38DD"/>
    <w:rsid w:val="00DE3A9C"/>
    <w:rsid w:val="00E02690"/>
    <w:rsid w:val="00E378C8"/>
    <w:rsid w:val="00E57992"/>
    <w:rsid w:val="00E75215"/>
    <w:rsid w:val="00EA7CAA"/>
    <w:rsid w:val="00ED3888"/>
    <w:rsid w:val="00F01E1B"/>
    <w:rsid w:val="00F23EEC"/>
    <w:rsid w:val="00F31323"/>
    <w:rsid w:val="00F35AAE"/>
    <w:rsid w:val="00F44A31"/>
    <w:rsid w:val="00F456A5"/>
    <w:rsid w:val="00F4671B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DA6"/>
  <w15:docId w15:val="{21D592DD-A198-44D4-97E4-BFF1B58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27989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ConsPlusNormal">
    <w:name w:val="ConsPlusNormal"/>
    <w:rsid w:val="00B27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49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671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118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2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2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A429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746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katex-mathml">
    <w:name w:val="katex-mathml"/>
    <w:basedOn w:val="a0"/>
    <w:rsid w:val="00316F2A"/>
  </w:style>
  <w:style w:type="character" w:customStyle="1" w:styleId="mord">
    <w:name w:val="mord"/>
    <w:basedOn w:val="a0"/>
    <w:rsid w:val="00316F2A"/>
  </w:style>
  <w:style w:type="character" w:customStyle="1" w:styleId="mspace">
    <w:name w:val="mspace"/>
    <w:basedOn w:val="a0"/>
    <w:rsid w:val="00316F2A"/>
  </w:style>
  <w:style w:type="character" w:customStyle="1" w:styleId="mrel">
    <w:name w:val="mrel"/>
    <w:basedOn w:val="a0"/>
    <w:rsid w:val="00316F2A"/>
  </w:style>
  <w:style w:type="character" w:customStyle="1" w:styleId="vlist-s">
    <w:name w:val="vlist-s"/>
    <w:basedOn w:val="a0"/>
    <w:rsid w:val="00316F2A"/>
  </w:style>
  <w:style w:type="character" w:customStyle="1" w:styleId="mbin">
    <w:name w:val="mbin"/>
    <w:basedOn w:val="a0"/>
    <w:rsid w:val="00316F2A"/>
  </w:style>
  <w:style w:type="table" w:styleId="a9">
    <w:name w:val="Table Grid"/>
    <w:basedOn w:val="a1"/>
    <w:uiPriority w:val="39"/>
    <w:rsid w:val="0097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A39D5-CD1C-42CC-8463-F6409418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Г. Шарипова</dc:creator>
  <cp:lastModifiedBy>STAFF</cp:lastModifiedBy>
  <cp:revision>8</cp:revision>
  <cp:lastPrinted>2026-03-24T05:35:00Z</cp:lastPrinted>
  <dcterms:created xsi:type="dcterms:W3CDTF">2026-03-27T11:33:00Z</dcterms:created>
  <dcterms:modified xsi:type="dcterms:W3CDTF">2026-03-30T11:11:00Z</dcterms:modified>
</cp:coreProperties>
</file>